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0B6E0A" w:rsidRDefault="003C6034" w:rsidP="00CC1F3B">
      <w:pPr>
        <w:pStyle w:val="TitlePageOrigin"/>
        <w:rPr>
          <w:color w:val="auto"/>
        </w:rPr>
      </w:pPr>
      <w:r w:rsidRPr="000B6E0A">
        <w:rPr>
          <w:caps w:val="0"/>
          <w:color w:val="auto"/>
        </w:rPr>
        <w:t>WEST VIRGINIA LEGISLATURE</w:t>
      </w:r>
    </w:p>
    <w:p w14:paraId="51AB2CE6" w14:textId="77777777" w:rsidR="00CD36CF" w:rsidRPr="000B6E0A" w:rsidRDefault="00CD36CF" w:rsidP="00CC1F3B">
      <w:pPr>
        <w:pStyle w:val="TitlePageSession"/>
        <w:rPr>
          <w:color w:val="auto"/>
        </w:rPr>
      </w:pPr>
      <w:r w:rsidRPr="000B6E0A">
        <w:rPr>
          <w:color w:val="auto"/>
        </w:rPr>
        <w:t>20</w:t>
      </w:r>
      <w:r w:rsidR="00EC5E63" w:rsidRPr="000B6E0A">
        <w:rPr>
          <w:color w:val="auto"/>
        </w:rPr>
        <w:t>2</w:t>
      </w:r>
      <w:r w:rsidR="00400B5C" w:rsidRPr="000B6E0A">
        <w:rPr>
          <w:color w:val="auto"/>
        </w:rPr>
        <w:t>2</w:t>
      </w:r>
      <w:r w:rsidRPr="000B6E0A">
        <w:rPr>
          <w:color w:val="auto"/>
        </w:rPr>
        <w:t xml:space="preserve"> </w:t>
      </w:r>
      <w:r w:rsidR="003C6034" w:rsidRPr="000B6E0A">
        <w:rPr>
          <w:caps w:val="0"/>
          <w:color w:val="auto"/>
        </w:rPr>
        <w:t>REGULAR SESSION</w:t>
      </w:r>
    </w:p>
    <w:p w14:paraId="2EE6448E" w14:textId="77777777" w:rsidR="00CD36CF" w:rsidRPr="000B6E0A" w:rsidRDefault="004D76B6"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0B6E0A">
            <w:rPr>
              <w:color w:val="auto"/>
            </w:rPr>
            <w:t>Introduced</w:t>
          </w:r>
        </w:sdtContent>
      </w:sdt>
    </w:p>
    <w:p w14:paraId="52E0BC9F" w14:textId="026D013C" w:rsidR="00CD36CF" w:rsidRPr="000B6E0A" w:rsidRDefault="004D76B6"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0B6E0A">
            <w:rPr>
              <w:color w:val="auto"/>
            </w:rPr>
            <w:t>House</w:t>
          </w:r>
        </w:sdtContent>
      </w:sdt>
      <w:r w:rsidR="00303684" w:rsidRPr="000B6E0A">
        <w:rPr>
          <w:color w:val="auto"/>
        </w:rPr>
        <w:t xml:space="preserve"> </w:t>
      </w:r>
      <w:r w:rsidR="00CD36CF" w:rsidRPr="000B6E0A">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4550</w:t>
          </w:r>
        </w:sdtContent>
      </w:sdt>
    </w:p>
    <w:p w14:paraId="12B11314" w14:textId="27B97B86" w:rsidR="00CD36CF" w:rsidRPr="000B6E0A" w:rsidRDefault="00CD36CF" w:rsidP="00CC1F3B">
      <w:pPr>
        <w:pStyle w:val="Sponsors"/>
        <w:rPr>
          <w:color w:val="auto"/>
        </w:rPr>
      </w:pPr>
      <w:r w:rsidRPr="000B6E0A">
        <w:rPr>
          <w:color w:val="auto"/>
        </w:rPr>
        <w:t xml:space="preserve">By </w:t>
      </w:r>
      <w:sdt>
        <w:sdtPr>
          <w:rPr>
            <w:color w:val="auto"/>
          </w:rPr>
          <w:tag w:val="Sponsors"/>
          <w:id w:val="1589585889"/>
          <w:placeholder>
            <w:docPart w:val="9D2D760CBEAC48878493036E25F09BBE"/>
          </w:placeholder>
          <w:text w:multiLine="1"/>
        </w:sdtPr>
        <w:sdtEndPr/>
        <w:sdtContent>
          <w:r w:rsidR="001C0660" w:rsidRPr="000B6E0A">
            <w:rPr>
              <w:color w:val="auto"/>
            </w:rPr>
            <w:t>Delegate</w:t>
          </w:r>
          <w:r w:rsidR="005105C8">
            <w:rPr>
              <w:color w:val="auto"/>
            </w:rPr>
            <w:t>s</w:t>
          </w:r>
          <w:r w:rsidR="000361C4" w:rsidRPr="000B6E0A">
            <w:rPr>
              <w:color w:val="auto"/>
            </w:rPr>
            <w:t xml:space="preserve"> Hamrick</w:t>
          </w:r>
          <w:r w:rsidR="005105C8">
            <w:rPr>
              <w:color w:val="auto"/>
            </w:rPr>
            <w:t xml:space="preserve"> and Keaton</w:t>
          </w:r>
        </w:sdtContent>
      </w:sdt>
    </w:p>
    <w:p w14:paraId="2E35AEA6" w14:textId="491E95C9" w:rsidR="00E831B3" w:rsidRPr="000B6E0A" w:rsidRDefault="00CD36CF" w:rsidP="00CC1F3B">
      <w:pPr>
        <w:pStyle w:val="References"/>
        <w:rPr>
          <w:color w:val="auto"/>
        </w:rPr>
      </w:pPr>
      <w:r w:rsidRPr="000B6E0A">
        <w:rPr>
          <w:color w:val="auto"/>
        </w:rPr>
        <w:t>[</w:t>
      </w:r>
      <w:sdt>
        <w:sdtPr>
          <w:rPr>
            <w:color w:val="auto"/>
          </w:rPr>
          <w:tag w:val="References"/>
          <w:id w:val="-1043047873"/>
          <w:placeholder>
            <w:docPart w:val="D4A31AA3ADD442DA9F17D7E8D2E3A877"/>
          </w:placeholder>
          <w:text w:multiLine="1"/>
        </w:sdtPr>
        <w:sdtEndPr/>
        <w:sdtContent>
          <w:r w:rsidR="004D76B6">
            <w:rPr>
              <w:color w:val="auto"/>
            </w:rPr>
            <w:t>Introduced February 03, 2022; Referred to the Committee on the Judiciary</w:t>
          </w:r>
        </w:sdtContent>
      </w:sdt>
      <w:r w:rsidRPr="000B6E0A">
        <w:rPr>
          <w:color w:val="auto"/>
        </w:rPr>
        <w:t>]</w:t>
      </w:r>
    </w:p>
    <w:p w14:paraId="5C79DB9D" w14:textId="7CB2329A" w:rsidR="00303684" w:rsidRPr="000B6E0A" w:rsidRDefault="0000526A" w:rsidP="000361C4">
      <w:pPr>
        <w:pStyle w:val="TitleSection"/>
        <w:rPr>
          <w:color w:val="auto"/>
        </w:rPr>
      </w:pPr>
      <w:r w:rsidRPr="000B6E0A">
        <w:rPr>
          <w:color w:val="auto"/>
        </w:rPr>
        <w:lastRenderedPageBreak/>
        <w:t>A BILL</w:t>
      </w:r>
      <w:r w:rsidR="007E245E" w:rsidRPr="000B6E0A">
        <w:rPr>
          <w:color w:val="auto"/>
        </w:rPr>
        <w:t xml:space="preserve"> to </w:t>
      </w:r>
      <w:r w:rsidR="000361C4" w:rsidRPr="000B6E0A">
        <w:rPr>
          <w:color w:val="auto"/>
        </w:rPr>
        <w:t>amend</w:t>
      </w:r>
      <w:r w:rsidR="007E245E" w:rsidRPr="000B6E0A">
        <w:rPr>
          <w:color w:val="auto"/>
        </w:rPr>
        <w:t xml:space="preserve"> the Code of West Virginia, </w:t>
      </w:r>
      <w:r w:rsidR="001C0660" w:rsidRPr="000B6E0A">
        <w:rPr>
          <w:color w:val="auto"/>
        </w:rPr>
        <w:t xml:space="preserve">1931, </w:t>
      </w:r>
      <w:r w:rsidR="007E245E" w:rsidRPr="000B6E0A">
        <w:rPr>
          <w:color w:val="auto"/>
        </w:rPr>
        <w:t xml:space="preserve">as amended, </w:t>
      </w:r>
      <w:r w:rsidR="000361C4" w:rsidRPr="000B6E0A">
        <w:rPr>
          <w:color w:val="auto"/>
        </w:rPr>
        <w:t xml:space="preserve">by adding thereto a new section, designated §55-7-32; </w:t>
      </w:r>
      <w:r w:rsidR="00E05ED3" w:rsidRPr="000B6E0A">
        <w:rPr>
          <w:color w:val="auto"/>
        </w:rPr>
        <w:t xml:space="preserve">and </w:t>
      </w:r>
      <w:r w:rsidR="00E961E8" w:rsidRPr="000B6E0A">
        <w:rPr>
          <w:color w:val="auto"/>
        </w:rPr>
        <w:t>to amend and reenact §</w:t>
      </w:r>
      <w:r w:rsidR="000361C4" w:rsidRPr="000B6E0A">
        <w:rPr>
          <w:color w:val="auto"/>
        </w:rPr>
        <w:t>55-7B-8</w:t>
      </w:r>
      <w:r w:rsidR="007E6D35" w:rsidRPr="000B6E0A">
        <w:rPr>
          <w:color w:val="auto"/>
        </w:rPr>
        <w:t xml:space="preserve"> of said code</w:t>
      </w:r>
      <w:r w:rsidR="0003212F" w:rsidRPr="000B6E0A">
        <w:rPr>
          <w:color w:val="auto"/>
        </w:rPr>
        <w:t>,</w:t>
      </w:r>
      <w:r w:rsidR="00E948A9" w:rsidRPr="000B6E0A">
        <w:rPr>
          <w:color w:val="auto"/>
        </w:rPr>
        <w:t xml:space="preserve"> all relating to</w:t>
      </w:r>
      <w:r w:rsidR="000361C4" w:rsidRPr="000B6E0A">
        <w:rPr>
          <w:color w:val="auto"/>
        </w:rPr>
        <w:t xml:space="preserve"> eliminating a specific dollar amount or a range for the jury to consider with respect to awards for noneconomic damages in civil litigation.</w:t>
      </w:r>
    </w:p>
    <w:p w14:paraId="49EAF08C" w14:textId="77777777" w:rsidR="00303684" w:rsidRPr="000B6E0A" w:rsidRDefault="00303684" w:rsidP="00CC1F3B">
      <w:pPr>
        <w:pStyle w:val="EnactingClause"/>
        <w:rPr>
          <w:color w:val="auto"/>
        </w:rPr>
      </w:pPr>
      <w:r w:rsidRPr="000B6E0A">
        <w:rPr>
          <w:color w:val="auto"/>
        </w:rPr>
        <w:t>Be it enacted by the Legislature of West Virginia:</w:t>
      </w:r>
    </w:p>
    <w:p w14:paraId="2A4D1B95" w14:textId="77777777" w:rsidR="000361C4" w:rsidRPr="000B6E0A" w:rsidRDefault="000361C4" w:rsidP="006A6159">
      <w:pPr>
        <w:pStyle w:val="ArticleHeading"/>
        <w:rPr>
          <w:color w:val="auto"/>
        </w:rPr>
        <w:sectPr w:rsidR="000361C4" w:rsidRPr="000B6E0A" w:rsidSect="000361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B6E0A">
        <w:rPr>
          <w:color w:val="auto"/>
        </w:rPr>
        <w:t>ARTICLE 7. ACTIONS FOR INJURIES.</w:t>
      </w:r>
    </w:p>
    <w:p w14:paraId="6B27FAB8" w14:textId="03FD22F2" w:rsidR="000361C4" w:rsidRPr="000B6E0A" w:rsidRDefault="000361C4" w:rsidP="000361C4">
      <w:pPr>
        <w:pStyle w:val="SectionHeading"/>
        <w:rPr>
          <w:color w:val="auto"/>
          <w:u w:val="single"/>
        </w:rPr>
      </w:pPr>
      <w:r w:rsidRPr="000B6E0A">
        <w:rPr>
          <w:color w:val="auto"/>
          <w:u w:val="single"/>
        </w:rPr>
        <w:t>§55-7-32. Limitation on noneconomic damages.</w:t>
      </w:r>
    </w:p>
    <w:p w14:paraId="2679BCCD" w14:textId="0FF37ED5" w:rsidR="00C33014" w:rsidRPr="000B6E0A" w:rsidRDefault="000361C4" w:rsidP="000361C4">
      <w:pPr>
        <w:pStyle w:val="SectionBody"/>
        <w:rPr>
          <w:color w:val="auto"/>
          <w:u w:val="single"/>
        </w:rPr>
      </w:pPr>
      <w:r w:rsidRPr="000B6E0A">
        <w:rPr>
          <w:color w:val="auto"/>
          <w:u w:val="single"/>
        </w:rPr>
        <w:t>In the trial of any civil tort action, no party or counsel for a party shall seek or refer to a specific dollar amount or state a range for the jury to consider with respect to awards of noneconomic damages.</w:t>
      </w:r>
    </w:p>
    <w:p w14:paraId="39C78ABB" w14:textId="77777777" w:rsidR="000361C4" w:rsidRPr="000B6E0A" w:rsidRDefault="000361C4" w:rsidP="005F5229">
      <w:pPr>
        <w:pStyle w:val="ArticleHeading"/>
        <w:rPr>
          <w:color w:val="auto"/>
        </w:rPr>
        <w:sectPr w:rsidR="000361C4" w:rsidRPr="000B6E0A" w:rsidSect="0048319E">
          <w:type w:val="continuous"/>
          <w:pgSz w:w="12240" w:h="15840" w:code="1"/>
          <w:pgMar w:top="1440" w:right="1440" w:bottom="1440" w:left="1440" w:header="720" w:footer="720" w:gutter="0"/>
          <w:lnNumType w:countBy="1" w:restart="newSection"/>
          <w:cols w:space="720"/>
          <w:titlePg/>
          <w:docGrid w:linePitch="360"/>
        </w:sectPr>
      </w:pPr>
      <w:r w:rsidRPr="000B6E0A">
        <w:rPr>
          <w:color w:val="auto"/>
        </w:rPr>
        <w:t>ARTICLE 7B. MEDICAL PROFESSIONAL LIABILITY.</w:t>
      </w:r>
    </w:p>
    <w:p w14:paraId="12D7CB8E" w14:textId="77777777" w:rsidR="000361C4" w:rsidRPr="000B6E0A" w:rsidRDefault="000361C4" w:rsidP="00D43740">
      <w:pPr>
        <w:pStyle w:val="SectionHeading"/>
        <w:rPr>
          <w:color w:val="auto"/>
        </w:rPr>
      </w:pPr>
      <w:r w:rsidRPr="000B6E0A">
        <w:rPr>
          <w:color w:val="auto"/>
        </w:rPr>
        <w:t>§55-7B-8. Limit on liability for noneconomic loss.</w:t>
      </w:r>
    </w:p>
    <w:p w14:paraId="7BA8B93C" w14:textId="77777777" w:rsidR="000361C4" w:rsidRPr="000B6E0A" w:rsidRDefault="000361C4" w:rsidP="00D43740">
      <w:pPr>
        <w:pStyle w:val="SectionBody"/>
        <w:rPr>
          <w:color w:val="auto"/>
        </w:rPr>
      </w:pPr>
      <w:r w:rsidRPr="000B6E0A">
        <w:rPr>
          <w:color w:val="auto"/>
        </w:rPr>
        <w:t>(a) In any professional liability action brought against a health care provider pursuant to this article, the maximum amount recoverable as compensatory damages for noneconomic loss may not exceed $250,000 for each occurrence, regardless of the number of plaintiffs or the number of defendants or, in the case of wrongful death, regardless of the number of distributees, except as provided in subsection (b) of this section.</w:t>
      </w:r>
    </w:p>
    <w:p w14:paraId="12D72AE9" w14:textId="77777777" w:rsidR="000361C4" w:rsidRPr="000B6E0A" w:rsidRDefault="000361C4" w:rsidP="00D43740">
      <w:pPr>
        <w:pStyle w:val="SectionBody"/>
        <w:rPr>
          <w:color w:val="auto"/>
        </w:rPr>
      </w:pPr>
      <w:r w:rsidRPr="000B6E0A">
        <w:rPr>
          <w:color w:val="auto"/>
        </w:rPr>
        <w:t>(b) The plaintiff may recover compensatory damages for noneconomic loss in excess of the limitation described in subsection (a) of this section, but not in excess of $500,000 for each occurrence, regardless of the number of plaintiffs or the number of defendants or, in the case of wrongful death, regardless of the number of distributees, where the damages for noneconomic losses suffered by the plaintiff were for: (1) Wrongful death; (2) permanent and substantial physical deformity, loss of use of a limb or loss of a bodily organ system; or (3) permanent physical or mental functional injury that permanently prevents the injured person from being able to independently care for himself or herself and perform life-sustaining activities.</w:t>
      </w:r>
    </w:p>
    <w:p w14:paraId="64309AD1" w14:textId="77777777" w:rsidR="00F00F77" w:rsidRPr="000B6E0A" w:rsidRDefault="000361C4" w:rsidP="00D43740">
      <w:pPr>
        <w:pStyle w:val="SectionBody"/>
        <w:rPr>
          <w:color w:val="auto"/>
        </w:rPr>
      </w:pPr>
      <w:r w:rsidRPr="000B6E0A">
        <w:rPr>
          <w:color w:val="auto"/>
        </w:rPr>
        <w:t xml:space="preserve">(c) On January 1, 2004, and in each year thereafter, the limitation for compensatory damages contained in subsections (a) and (b) of this section shall increase to account for inflation by an amount equal to the Consumer Price Index published by the United States Department of Labor, not to exceed one hundred fifty percent of the amounts specified in said subsections. </w:t>
      </w:r>
    </w:p>
    <w:p w14:paraId="6395E6B6" w14:textId="4161E8E6" w:rsidR="000361C4" w:rsidRPr="000B6E0A" w:rsidRDefault="000361C4" w:rsidP="00D43740">
      <w:pPr>
        <w:pStyle w:val="SectionBody"/>
        <w:rPr>
          <w:color w:val="auto"/>
        </w:rPr>
      </w:pPr>
      <w:r w:rsidRPr="000B6E0A">
        <w:rPr>
          <w:color w:val="auto"/>
        </w:rPr>
        <w:t>(d) The limitations on noneconomic damages contained in subsections (a), (b), (c) and (e) of this section are not available to any defendant in an action pursuant to this article which does not have medical professional liability insurance in the aggregate amount of at least $1 million for each occurrence covering the medical injury which is the subject of the action.</w:t>
      </w:r>
    </w:p>
    <w:p w14:paraId="3169AC6D" w14:textId="77777777" w:rsidR="000361C4" w:rsidRPr="000B6E0A" w:rsidRDefault="000361C4" w:rsidP="000361C4">
      <w:pPr>
        <w:pStyle w:val="SectionBody"/>
        <w:rPr>
          <w:color w:val="auto"/>
        </w:rPr>
      </w:pPr>
      <w:r w:rsidRPr="000B6E0A">
        <w:rPr>
          <w:color w:val="auto"/>
        </w:rPr>
        <w:t>(e) If subsection (a) or (b) of this section, as enacted during the 2003 regular session of the Legislature, or the application thereof to any person or circumstance, is found by a court of law to be unconstitutional or otherwise invalid, the maximum amount recoverable as damages for noneconomic loss in a professional liability action brought against a health care provider under this article shall thereafter not exceed $1 million.</w:t>
      </w:r>
    </w:p>
    <w:p w14:paraId="71A47042" w14:textId="1205E0E2" w:rsidR="000361C4" w:rsidRPr="000B6E0A" w:rsidRDefault="000361C4" w:rsidP="000361C4">
      <w:pPr>
        <w:pStyle w:val="SectionBody"/>
        <w:rPr>
          <w:color w:val="auto"/>
          <w:u w:val="single"/>
        </w:rPr>
      </w:pPr>
      <w:r w:rsidRPr="000B6E0A">
        <w:rPr>
          <w:color w:val="auto"/>
          <w:u w:val="single"/>
        </w:rPr>
        <w:t>(f) In the trial of any civil tort action, no party or counsel for a party shall seek or refer to a specific dollar amount or state a range for the jury to consider with respect to awards of noneconomic damages.</w:t>
      </w:r>
    </w:p>
    <w:p w14:paraId="08C0CB8E" w14:textId="2850E726" w:rsidR="000361C4" w:rsidRPr="000B6E0A" w:rsidRDefault="000361C4" w:rsidP="00D43740">
      <w:pPr>
        <w:pStyle w:val="SectionBody"/>
        <w:rPr>
          <w:color w:val="auto"/>
        </w:rPr>
        <w:sectPr w:rsidR="000361C4" w:rsidRPr="000B6E0A" w:rsidSect="002264E0">
          <w:type w:val="continuous"/>
          <w:pgSz w:w="12240" w:h="15840" w:code="1"/>
          <w:pgMar w:top="1440" w:right="1440" w:bottom="1440" w:left="1440" w:header="720" w:footer="720" w:gutter="0"/>
          <w:lnNumType w:countBy="1" w:restart="newSection"/>
          <w:cols w:space="720"/>
          <w:titlePg/>
          <w:docGrid w:linePitch="360"/>
        </w:sectPr>
      </w:pPr>
    </w:p>
    <w:p w14:paraId="58B10FF0" w14:textId="77777777" w:rsidR="000361C4" w:rsidRPr="000B6E0A" w:rsidRDefault="000361C4" w:rsidP="00A4524A">
      <w:pPr>
        <w:pStyle w:val="Note"/>
        <w:ind w:left="0"/>
        <w:rPr>
          <w:color w:val="auto"/>
        </w:rPr>
      </w:pPr>
    </w:p>
    <w:p w14:paraId="5123D13B" w14:textId="341FD196" w:rsidR="008B43D0" w:rsidRPr="000B6E0A" w:rsidRDefault="00CF1DCA" w:rsidP="008B43D0">
      <w:pPr>
        <w:pStyle w:val="Note"/>
        <w:rPr>
          <w:color w:val="auto"/>
        </w:rPr>
      </w:pPr>
      <w:r w:rsidRPr="000B6E0A">
        <w:rPr>
          <w:color w:val="auto"/>
        </w:rPr>
        <w:t>NOTE</w:t>
      </w:r>
      <w:r w:rsidR="003C53D2" w:rsidRPr="000B6E0A">
        <w:rPr>
          <w:color w:val="auto"/>
        </w:rPr>
        <w:t xml:space="preserve"> </w:t>
      </w:r>
      <w:r w:rsidR="008B43D0" w:rsidRPr="000B6E0A">
        <w:rPr>
          <w:color w:val="auto"/>
        </w:rPr>
        <w:t>The purpose of this bill is to</w:t>
      </w:r>
      <w:r w:rsidR="000361C4" w:rsidRPr="000B6E0A">
        <w:rPr>
          <w:color w:val="auto"/>
        </w:rPr>
        <w:t xml:space="preserve"> eliminate a specific dollar amount or a range for the jury to consider with respect to awards for noneconomic damages in civil litigation.</w:t>
      </w:r>
    </w:p>
    <w:p w14:paraId="49DCE18A" w14:textId="77777777" w:rsidR="006865E9" w:rsidRPr="000B6E0A" w:rsidRDefault="00AE48A0" w:rsidP="00CC1F3B">
      <w:pPr>
        <w:pStyle w:val="Note"/>
        <w:rPr>
          <w:color w:val="auto"/>
        </w:rPr>
      </w:pPr>
      <w:r w:rsidRPr="000B6E0A">
        <w:rPr>
          <w:color w:val="auto"/>
        </w:rPr>
        <w:t>Strike-throughs indicate language that would be stricken from a heading or the present law and underscoring indicates new language that would be added.</w:t>
      </w:r>
    </w:p>
    <w:sectPr w:rsidR="006865E9" w:rsidRPr="000B6E0A"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B341" w14:textId="77777777" w:rsidR="00165375" w:rsidRPr="00B844FE" w:rsidRDefault="00165375" w:rsidP="00B844FE">
      <w:r>
        <w:separator/>
      </w:r>
    </w:p>
  </w:endnote>
  <w:endnote w:type="continuationSeparator" w:id="0">
    <w:p w14:paraId="6AD63440" w14:textId="77777777" w:rsidR="00165375" w:rsidRPr="00B844FE" w:rsidRDefault="001653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AD5F" w14:textId="77777777" w:rsidR="000361C4" w:rsidRDefault="00036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18042"/>
      <w:docPartObj>
        <w:docPartGallery w:val="Page Numbers (Bottom of Page)"/>
        <w:docPartUnique/>
      </w:docPartObj>
    </w:sdtPr>
    <w:sdtEndPr>
      <w:rPr>
        <w:noProof/>
      </w:rPr>
    </w:sdtEndPr>
    <w:sdtContent>
      <w:p w14:paraId="2FF3F2C2" w14:textId="0032B73E" w:rsidR="000361C4" w:rsidRDefault="00036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DF891" w14:textId="77777777" w:rsidR="000361C4" w:rsidRDefault="00036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6905" w14:textId="77777777" w:rsidR="000361C4" w:rsidRDefault="00036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B666" w14:textId="77777777" w:rsidR="00165375" w:rsidRPr="00B844FE" w:rsidRDefault="00165375" w:rsidP="00B844FE">
      <w:r>
        <w:separator/>
      </w:r>
    </w:p>
  </w:footnote>
  <w:footnote w:type="continuationSeparator" w:id="0">
    <w:p w14:paraId="1DE2F94C" w14:textId="77777777" w:rsidR="00165375" w:rsidRPr="00B844FE" w:rsidRDefault="001653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BCFE" w14:textId="77777777" w:rsidR="000361C4" w:rsidRDefault="00036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082C" w14:textId="2FBF800B" w:rsidR="000361C4" w:rsidRDefault="000361C4">
    <w:pPr>
      <w:pStyle w:val="Header"/>
    </w:pPr>
    <w:r>
      <w:t>Intr. HB</w:t>
    </w:r>
    <w:r>
      <w:tab/>
    </w:r>
    <w:r>
      <w:tab/>
      <w:t>2022R2170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0254" w14:textId="77777777" w:rsidR="000361C4" w:rsidRDefault="00036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4D76B6">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784487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0640BC409FAE4593B3ADD3BF3780694A"/>
        </w:placeholder>
        <w:showingPlcHdr/>
        <w:text/>
      </w:sdtPr>
      <w:sdtEndPr/>
      <w:sdtContent/>
    </w:sdt>
    <w:r w:rsidR="00554EA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54EA2">
          <w:rPr>
            <w:sz w:val="22"/>
            <w:szCs w:val="22"/>
          </w:rPr>
          <w:t>2022R2196</w:t>
        </w:r>
      </w:sdtContent>
    </w:sdt>
  </w:p>
  <w:p w14:paraId="50E707F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204BC"/>
    <w:rsid w:val="0003212F"/>
    <w:rsid w:val="000361C4"/>
    <w:rsid w:val="000573A9"/>
    <w:rsid w:val="00074803"/>
    <w:rsid w:val="00085D22"/>
    <w:rsid w:val="000B6E0A"/>
    <w:rsid w:val="000C5C77"/>
    <w:rsid w:val="000E3912"/>
    <w:rsid w:val="000E72B8"/>
    <w:rsid w:val="0010070F"/>
    <w:rsid w:val="0015112E"/>
    <w:rsid w:val="001552E7"/>
    <w:rsid w:val="001566B4"/>
    <w:rsid w:val="00165375"/>
    <w:rsid w:val="001A66B7"/>
    <w:rsid w:val="001C0660"/>
    <w:rsid w:val="001C279E"/>
    <w:rsid w:val="001C36CD"/>
    <w:rsid w:val="001D459E"/>
    <w:rsid w:val="00210E5F"/>
    <w:rsid w:val="0022348D"/>
    <w:rsid w:val="00225DA9"/>
    <w:rsid w:val="002339FB"/>
    <w:rsid w:val="0027011C"/>
    <w:rsid w:val="002732CE"/>
    <w:rsid w:val="00274200"/>
    <w:rsid w:val="0027481E"/>
    <w:rsid w:val="00275740"/>
    <w:rsid w:val="002A0269"/>
    <w:rsid w:val="002E7A6B"/>
    <w:rsid w:val="00303684"/>
    <w:rsid w:val="003143F5"/>
    <w:rsid w:val="00314854"/>
    <w:rsid w:val="00394191"/>
    <w:rsid w:val="003C51CD"/>
    <w:rsid w:val="003C53D2"/>
    <w:rsid w:val="003C6034"/>
    <w:rsid w:val="00400B5C"/>
    <w:rsid w:val="004368E0"/>
    <w:rsid w:val="00453AAF"/>
    <w:rsid w:val="00462B4B"/>
    <w:rsid w:val="00495DDF"/>
    <w:rsid w:val="004A4CE1"/>
    <w:rsid w:val="004C13DD"/>
    <w:rsid w:val="004C6653"/>
    <w:rsid w:val="004D3ABE"/>
    <w:rsid w:val="004D76B6"/>
    <w:rsid w:val="004E3441"/>
    <w:rsid w:val="00500579"/>
    <w:rsid w:val="005105C8"/>
    <w:rsid w:val="005221F6"/>
    <w:rsid w:val="00523F13"/>
    <w:rsid w:val="00554EA2"/>
    <w:rsid w:val="00594A9C"/>
    <w:rsid w:val="005A5366"/>
    <w:rsid w:val="006369EB"/>
    <w:rsid w:val="00637E73"/>
    <w:rsid w:val="00657FEE"/>
    <w:rsid w:val="006865E9"/>
    <w:rsid w:val="00686E9A"/>
    <w:rsid w:val="00691F3E"/>
    <w:rsid w:val="00694BFB"/>
    <w:rsid w:val="006A106B"/>
    <w:rsid w:val="006A6592"/>
    <w:rsid w:val="006C523D"/>
    <w:rsid w:val="006D4036"/>
    <w:rsid w:val="007573B7"/>
    <w:rsid w:val="007574A0"/>
    <w:rsid w:val="007A5259"/>
    <w:rsid w:val="007A7081"/>
    <w:rsid w:val="007E245E"/>
    <w:rsid w:val="007E3419"/>
    <w:rsid w:val="007E6D35"/>
    <w:rsid w:val="007F1CF5"/>
    <w:rsid w:val="00834EDE"/>
    <w:rsid w:val="008539C5"/>
    <w:rsid w:val="00860C84"/>
    <w:rsid w:val="008736AA"/>
    <w:rsid w:val="008B43D0"/>
    <w:rsid w:val="008D275D"/>
    <w:rsid w:val="00940393"/>
    <w:rsid w:val="00980327"/>
    <w:rsid w:val="00986478"/>
    <w:rsid w:val="009A28B0"/>
    <w:rsid w:val="009B5557"/>
    <w:rsid w:val="009E0A83"/>
    <w:rsid w:val="009E26A5"/>
    <w:rsid w:val="009F1067"/>
    <w:rsid w:val="00A225DA"/>
    <w:rsid w:val="00A31E01"/>
    <w:rsid w:val="00A4524A"/>
    <w:rsid w:val="00A527AD"/>
    <w:rsid w:val="00A663A5"/>
    <w:rsid w:val="00A718CF"/>
    <w:rsid w:val="00AE48A0"/>
    <w:rsid w:val="00AE61BE"/>
    <w:rsid w:val="00B072F1"/>
    <w:rsid w:val="00B14314"/>
    <w:rsid w:val="00B16F25"/>
    <w:rsid w:val="00B24422"/>
    <w:rsid w:val="00B636D5"/>
    <w:rsid w:val="00B66B81"/>
    <w:rsid w:val="00B80C20"/>
    <w:rsid w:val="00B844FE"/>
    <w:rsid w:val="00B86B4F"/>
    <w:rsid w:val="00BA1F84"/>
    <w:rsid w:val="00BC562B"/>
    <w:rsid w:val="00BC6334"/>
    <w:rsid w:val="00C120BF"/>
    <w:rsid w:val="00C33014"/>
    <w:rsid w:val="00C33434"/>
    <w:rsid w:val="00C34869"/>
    <w:rsid w:val="00C42EB6"/>
    <w:rsid w:val="00C44617"/>
    <w:rsid w:val="00C83043"/>
    <w:rsid w:val="00C85096"/>
    <w:rsid w:val="00CB20EF"/>
    <w:rsid w:val="00CC1F3B"/>
    <w:rsid w:val="00CD12CB"/>
    <w:rsid w:val="00CD36CF"/>
    <w:rsid w:val="00CF1DCA"/>
    <w:rsid w:val="00D579FC"/>
    <w:rsid w:val="00D81C16"/>
    <w:rsid w:val="00D946A0"/>
    <w:rsid w:val="00DD264E"/>
    <w:rsid w:val="00DD327E"/>
    <w:rsid w:val="00DE526B"/>
    <w:rsid w:val="00DF199D"/>
    <w:rsid w:val="00DF37B0"/>
    <w:rsid w:val="00E01542"/>
    <w:rsid w:val="00E05ED3"/>
    <w:rsid w:val="00E365F1"/>
    <w:rsid w:val="00E424FD"/>
    <w:rsid w:val="00E62F48"/>
    <w:rsid w:val="00E831B3"/>
    <w:rsid w:val="00E948A9"/>
    <w:rsid w:val="00E95FBC"/>
    <w:rsid w:val="00E961E8"/>
    <w:rsid w:val="00EC5E63"/>
    <w:rsid w:val="00EE70CB"/>
    <w:rsid w:val="00F00F77"/>
    <w:rsid w:val="00F41CA2"/>
    <w:rsid w:val="00F443C0"/>
    <w:rsid w:val="00F46791"/>
    <w:rsid w:val="00F62EFB"/>
    <w:rsid w:val="00F939A4"/>
    <w:rsid w:val="00F975AA"/>
    <w:rsid w:val="00FA7B09"/>
    <w:rsid w:val="00FD49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69549"/>
  <w15:chartTrackingRefBased/>
  <w15:docId w15:val="{79D3455E-682C-419F-8DBE-C6490DA4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28B0"/>
    <w:rPr>
      <w:rFonts w:eastAsia="Calibri"/>
      <w:b/>
      <w:caps/>
      <w:color w:val="000000"/>
      <w:sz w:val="24"/>
    </w:rPr>
  </w:style>
  <w:style w:type="character" w:customStyle="1" w:styleId="ChapterHeadingChar">
    <w:name w:val="Chapter Heading Char"/>
    <w:link w:val="ChapterHeading"/>
    <w:rsid w:val="00B636D5"/>
    <w:rPr>
      <w:rFonts w:eastAsia="Calibri"/>
      <w:b/>
      <w:caps/>
      <w:color w:val="000000"/>
      <w:sz w:val="28"/>
    </w:rPr>
  </w:style>
  <w:style w:type="character" w:customStyle="1" w:styleId="SectionBodyChar">
    <w:name w:val="Section Body Char"/>
    <w:link w:val="SectionBody"/>
    <w:rsid w:val="00E424FD"/>
    <w:rPr>
      <w:rFonts w:eastAsia="Calibri"/>
      <w:color w:val="000000"/>
    </w:rPr>
  </w:style>
  <w:style w:type="character" w:customStyle="1" w:styleId="SectionHeadingChar">
    <w:name w:val="Section Heading Char"/>
    <w:link w:val="SectionHeading"/>
    <w:rsid w:val="00E424FD"/>
    <w:rPr>
      <w:rFonts w:eastAsia="Calibri"/>
      <w:b/>
      <w:color w:val="000000"/>
    </w:rPr>
  </w:style>
  <w:style w:type="character" w:customStyle="1" w:styleId="EnactingSectionChar">
    <w:name w:val="Enacting Section Char"/>
    <w:link w:val="EnactingSection"/>
    <w:rsid w:val="00A663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081DC4" w:rsidRDefault="00C10011" w:rsidP="00C10011">
          <w:pPr>
            <w:pStyle w:val="A71EE4AF119746DABFFD8A86860E6A56"/>
          </w:pPr>
          <w:r w:rsidRPr="004D3ABE">
            <w:rPr>
              <w:rStyle w:val="PlaceholderText"/>
            </w:rPr>
            <w:t>Click here to enter text.</w:t>
          </w:r>
        </w:p>
      </w:docPartBody>
    </w:docPart>
    <w:docPart>
      <w:docPartPr>
        <w:name w:val="0640BC409FAE4593B3ADD3BF3780694A"/>
        <w:category>
          <w:name w:val="General"/>
          <w:gallery w:val="placeholder"/>
        </w:category>
        <w:types>
          <w:type w:val="bbPlcHdr"/>
        </w:types>
        <w:behaviors>
          <w:behavior w:val="content"/>
        </w:behaviors>
        <w:guid w:val="{D78953CF-2A59-442F-81D9-CF27A8AA93A2}"/>
      </w:docPartPr>
      <w:docPartBody>
        <w:p w:rsidR="00CD5123" w:rsidRDefault="00CD5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2450E"/>
    <w:rsid w:val="00081DC4"/>
    <w:rsid w:val="002E45A9"/>
    <w:rsid w:val="009E1BAF"/>
    <w:rsid w:val="00C10011"/>
    <w:rsid w:val="00CD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2022-02-01T20:35:00Z</cp:lastPrinted>
  <dcterms:created xsi:type="dcterms:W3CDTF">2022-02-02T23:06:00Z</dcterms:created>
  <dcterms:modified xsi:type="dcterms:W3CDTF">2022-02-02T23:06:00Z</dcterms:modified>
</cp:coreProperties>
</file>